
<file path=[Content_Types].xml><?xml version="1.0" encoding="utf-8"?>
<Types xmlns="http://schemas.openxmlformats.org/package/2006/content-types">
  <Override PartName="/_rels/.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3.png" ContentType="image/png"/>
  <Override PartName="/word/media/image1.jpeg" ContentType="image/jpe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center"/>
        <w:rPr>
          <w:sz w:val="22"/>
          <w:lang w:val="lt-LT"/>
        </w:rPr>
      </w:pPr>
      <w:r>
        <w:rPr/>
        <w:drawing>
          <wp:inline distT="0" distB="0" distL="0" distR="0">
            <wp:extent cx="2647950" cy="10382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647950" cy="1038225"/>
                    </a:xfrm>
                    <a:prstGeom prst="rect">
                      <a:avLst/>
                    </a:prstGeom>
                  </pic:spPr>
                </pic:pic>
              </a:graphicData>
            </a:graphic>
          </wp:inline>
        </w:drawing>
      </w:r>
      <w:r>
        <w:rPr/>
        <w:drawing>
          <wp:inline distT="0" distB="0" distL="0" distR="0">
            <wp:extent cx="1038225" cy="1047750"/>
            <wp:effectExtent l="0" t="0" r="0" b="0"/>
            <wp:docPr id="2" name="Picture 2"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image001.gif@01C78360.5D82C9E0"/>
                    <pic:cNvPicPr>
                      <a:picLocks noChangeAspect="1" noChangeArrowheads="1"/>
                    </pic:cNvPicPr>
                  </pic:nvPicPr>
                  <pic:blipFill>
                    <a:blip r:embed="rId3"/>
                    <a:stretch>
                      <a:fillRect/>
                    </a:stretch>
                  </pic:blipFill>
                  <pic:spPr bwMode="auto">
                    <a:xfrm>
                      <a:off x="0" y="0"/>
                      <a:ext cx="1038225" cy="1047750"/>
                    </a:xfrm>
                    <a:prstGeom prst="rect">
                      <a:avLst/>
                    </a:prstGeom>
                  </pic:spPr>
                </pic:pic>
              </a:graphicData>
            </a:graphic>
          </wp:inline>
        </w:drawing>
      </w:r>
      <w:r>
        <w:rPr/>
        <w:drawing>
          <wp:inline distT="0" distB="0" distL="0" distR="0">
            <wp:extent cx="781050" cy="104775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4"/>
                    <a:stretch>
                      <a:fillRect/>
                    </a:stretch>
                  </pic:blipFill>
                  <pic:spPr bwMode="auto">
                    <a:xfrm>
                      <a:off x="0" y="0"/>
                      <a:ext cx="781050" cy="1047750"/>
                    </a:xfrm>
                    <a:prstGeom prst="rect">
                      <a:avLst/>
                    </a:prstGeom>
                  </pic:spPr>
                </pic:pic>
              </a:graphicData>
            </a:graphic>
          </wp:inline>
        </w:drawing>
      </w:r>
    </w:p>
    <w:p>
      <w:pPr>
        <w:pStyle w:val="Normal"/>
        <w:jc w:val="center"/>
        <w:rPr>
          <w:sz w:val="22"/>
          <w:lang w:val="lt-LT"/>
        </w:rPr>
      </w:pPr>
      <w:r>
        <w:rPr>
          <w:sz w:val="22"/>
          <w:lang w:val="lt-LT"/>
        </w:rPr>
      </w:r>
    </w:p>
    <w:p>
      <w:pPr>
        <w:pStyle w:val="Normal"/>
        <w:jc w:val="center"/>
        <w:rPr>
          <w:b/>
          <w:b/>
          <w:sz w:val="22"/>
          <w:lang w:val="lt-LT"/>
        </w:rPr>
      </w:pPr>
      <w:bookmarkStart w:id="0" w:name="_GoBack"/>
      <w:bookmarkEnd w:id="0"/>
      <w:r>
        <w:rPr>
          <w:b/>
          <w:sz w:val="22"/>
          <w:lang w:val="lt-LT"/>
        </w:rPr>
        <w:t>PAPRASTAS KVIETIMAS TEIKTI VIETOS PROJEKTUS Nr. 1</w:t>
      </w:r>
    </w:p>
    <w:p>
      <w:pPr>
        <w:pStyle w:val="Normal"/>
        <w:jc w:val="both"/>
        <w:rPr>
          <w:sz w:val="22"/>
          <w:lang w:val="lt-LT"/>
        </w:rPr>
      </w:pPr>
      <w:r>
        <w:rPr>
          <w:sz w:val="22"/>
          <w:lang w:val="lt-LT"/>
        </w:rPr>
      </w:r>
    </w:p>
    <w:p>
      <w:pPr>
        <w:pStyle w:val="BodyText1"/>
        <w:spacing w:lineRule="auto" w:line="276"/>
        <w:rPr>
          <w:sz w:val="22"/>
          <w:szCs w:val="22"/>
          <w:lang w:val="lt-LT"/>
        </w:rPr>
      </w:pPr>
      <w:r>
        <w:rPr>
          <w:sz w:val="22"/>
          <w:szCs w:val="22"/>
          <w:lang w:val="lt-LT"/>
        </w:rPr>
        <w:t>Jonavos rajono savivaldybės vietos veiklos grupė</w:t>
      </w:r>
      <w:r>
        <w:rPr>
          <w:i/>
          <w:sz w:val="22"/>
          <w:szCs w:val="22"/>
          <w:lang w:val="lt-LT"/>
        </w:rPr>
        <w:t xml:space="preserve"> </w:t>
      </w:r>
      <w:r>
        <w:rPr>
          <w:sz w:val="22"/>
          <w:szCs w:val="22"/>
          <w:lang w:val="lt-LT"/>
        </w:rPr>
        <w:t xml:space="preserve">kviečia teikti vietos projektus pagal kaimo vietovių vietos plėtros strategijos „Jonavos rajono savivaldybės vietos veiklos grupės teritorijos vietos plėtros 2014 – 2020 m. strategija“ (toliau – VPS)  priemonę: </w:t>
      </w:r>
    </w:p>
    <w:tbl>
      <w:tblPr>
        <w:tblStyle w:val="TableGrid"/>
        <w:tblW w:w="9722" w:type="dxa"/>
        <w:jc w:val="left"/>
        <w:tblInd w:w="-25" w:type="dxa"/>
        <w:tblCellMar>
          <w:top w:w="0" w:type="dxa"/>
          <w:left w:w="83" w:type="dxa"/>
          <w:bottom w:w="0" w:type="dxa"/>
          <w:right w:w="108" w:type="dxa"/>
        </w:tblCellMar>
        <w:tblLook w:val="04a0" w:noVBand="1" w:noHBand="0" w:lastColumn="0" w:firstColumn="1" w:lastRow="0" w:firstRow="1"/>
      </w:tblPr>
      <w:tblGrid>
        <w:gridCol w:w="3326"/>
        <w:gridCol w:w="6395"/>
      </w:tblGrid>
      <w:tr>
        <w:trPr>
          <w:trHeight w:val="1289" w:hRule="atLeast"/>
        </w:trPr>
        <w:tc>
          <w:tcPr>
            <w:tcW w:w="3326" w:type="dxa"/>
            <w:vMerge w:val="restart"/>
            <w:tcBorders/>
            <w:shd w:color="auto" w:fill="auto" w:val="clear"/>
            <w:tcMar>
              <w:left w:w="83" w:type="dxa"/>
            </w:tcMar>
            <w:vAlign w:val="center"/>
          </w:tcPr>
          <w:p>
            <w:pPr>
              <w:pStyle w:val="Normal"/>
              <w:spacing w:lineRule="auto" w:line="240" w:before="0" w:after="0"/>
              <w:rPr>
                <w:b/>
                <w:b/>
                <w:sz w:val="22"/>
                <w:lang w:val="lt-LT"/>
              </w:rPr>
            </w:pPr>
            <w:r>
              <w:rPr>
                <w:b/>
                <w:sz w:val="22"/>
                <w:lang w:val="lt-LT"/>
              </w:rPr>
              <w:t>VPS priemonė „Jaunimo įtraukimas į vietos bendruomenės organizavimą“ Nr.  LEADER-19.2-SAVA-9</w:t>
            </w:r>
            <w:r>
              <w:rPr>
                <w:b/>
                <w:i/>
                <w:sz w:val="22"/>
                <w:lang w:val="lt-LT"/>
              </w:rPr>
              <w:t>)</w:t>
            </w:r>
          </w:p>
        </w:tc>
        <w:tc>
          <w:tcPr>
            <w:tcW w:w="6395" w:type="dxa"/>
            <w:tcBorders/>
            <w:shd w:color="auto" w:fill="auto" w:val="clear"/>
            <w:tcMar>
              <w:left w:w="83" w:type="dxa"/>
            </w:tcMar>
          </w:tcPr>
          <w:p>
            <w:pPr>
              <w:pStyle w:val="Normal"/>
              <w:spacing w:lineRule="auto" w:line="240" w:before="0" w:after="0"/>
              <w:jc w:val="both"/>
              <w:rPr>
                <w:b/>
                <w:b/>
                <w:i/>
                <w:i/>
                <w:sz w:val="22"/>
                <w:lang w:val="lt-LT"/>
              </w:rPr>
            </w:pPr>
            <w:r>
              <w:rPr>
                <w:b/>
                <w:sz w:val="22"/>
                <w:lang w:val="lt-LT"/>
              </w:rPr>
              <w:t>Remiamos veiklos:</w:t>
            </w:r>
            <w:r>
              <w:rPr>
                <w:b/>
                <w:i/>
                <w:sz w:val="22"/>
                <w:lang w:val="lt-LT"/>
              </w:rPr>
              <w:t xml:space="preserve"> </w:t>
            </w:r>
          </w:p>
          <w:p>
            <w:pPr>
              <w:pStyle w:val="Normal"/>
              <w:spacing w:lineRule="auto" w:line="240" w:before="0" w:after="0"/>
              <w:jc w:val="both"/>
              <w:rPr>
                <w:i/>
                <w:i/>
                <w:sz w:val="22"/>
                <w:lang w:val="lt-LT"/>
              </w:rPr>
            </w:pPr>
            <w:r>
              <w:rPr>
                <w:sz w:val="22"/>
                <w:lang w:val="lt-LT"/>
              </w:rPr>
              <w:t>jaunimo klubų ir būrelių veiklos organizavimas (pvz., įtraukiant vaikus ir jaunimą į „hobby“ pobūdžio žemės ūkio veiklą: bitininkystę, dekoratyvinių, naminių gyvūnų bei paukščių, vaistažolių auginimą ir pan.), numatant remiamų jaunimo organizacijų prisidėjimą prie vietos bendruomenės telkimo. Ypač remiamas jaunimo įtraukimas į socialinių ir kitų viešųjų paslaugų, teikiamų bendruomenės lygiu, organizavimą ir kitos iniciatyvos, atitinkančios priemonės tikslą.</w:t>
            </w:r>
          </w:p>
        </w:tc>
      </w:tr>
      <w:tr>
        <w:trPr>
          <w:trHeight w:val="1086" w:hRule="atLeast"/>
        </w:trPr>
        <w:tc>
          <w:tcPr>
            <w:tcW w:w="3326" w:type="dxa"/>
            <w:vMerge w:val="continue"/>
            <w:tcBorders/>
            <w:shd w:color="auto" w:fill="auto" w:val="clear"/>
            <w:tcMar>
              <w:left w:w="83" w:type="dxa"/>
            </w:tcMar>
          </w:tcPr>
          <w:p>
            <w:pPr>
              <w:pStyle w:val="Normal"/>
              <w:spacing w:lineRule="auto" w:line="240" w:before="0" w:after="0"/>
              <w:jc w:val="both"/>
              <w:rPr>
                <w:sz w:val="22"/>
                <w:lang w:val="lt-LT"/>
              </w:rPr>
            </w:pPr>
            <w:r>
              <w:rPr>
                <w:sz w:val="22"/>
                <w:lang w:val="lt-LT"/>
              </w:rPr>
            </w:r>
          </w:p>
        </w:tc>
        <w:tc>
          <w:tcPr>
            <w:tcW w:w="6395" w:type="dxa"/>
            <w:tcBorders/>
            <w:shd w:color="auto" w:fill="auto" w:val="clear"/>
            <w:tcMar>
              <w:left w:w="83" w:type="dxa"/>
            </w:tcMar>
          </w:tcPr>
          <w:p>
            <w:pPr>
              <w:pStyle w:val="Normal"/>
              <w:spacing w:lineRule="auto" w:line="240" w:before="0" w:after="0"/>
              <w:rPr>
                <w:rFonts w:eastAsia="Calibri"/>
                <w:b/>
                <w:b/>
                <w:sz w:val="22"/>
                <w:lang w:val="lt-LT"/>
              </w:rPr>
            </w:pPr>
            <w:r>
              <w:rPr>
                <w:rFonts w:eastAsia="Calibri"/>
                <w:b/>
                <w:sz w:val="22"/>
                <w:lang w:val="lt-LT"/>
              </w:rPr>
              <w:t xml:space="preserve">Tinkami vietos projektų vykdytojai: </w:t>
            </w:r>
          </w:p>
          <w:p>
            <w:pPr>
              <w:pStyle w:val="Normal"/>
              <w:spacing w:lineRule="auto" w:line="240" w:before="0" w:after="0"/>
              <w:rPr>
                <w:sz w:val="22"/>
                <w:lang w:val="lt-LT"/>
              </w:rPr>
            </w:pPr>
            <w:r>
              <w:rPr>
                <w:sz w:val="22"/>
                <w:lang w:val="lt-LT"/>
              </w:rPr>
              <w:t>Teisinis statusas – viešieji pelno nesiekiantys juridiniai asmenys, registruoti pagal LR Asociacijų, LR Viešųjų įstaigų, LR Labdaros ir paramos fondų įstatymus.</w:t>
            </w:r>
          </w:p>
          <w:p>
            <w:pPr>
              <w:pStyle w:val="Normal"/>
              <w:spacing w:lineRule="auto" w:line="240" w:before="0" w:after="0"/>
              <w:rPr>
                <w:sz w:val="22"/>
                <w:lang w:val="lt-LT"/>
              </w:rPr>
            </w:pPr>
            <w:r>
              <w:rPr>
                <w:sz w:val="22"/>
                <w:lang w:val="lt-LT"/>
              </w:rPr>
              <w:t xml:space="preserve">Pobūdis – nevyriausybinė organizacija. </w:t>
            </w:r>
          </w:p>
          <w:p>
            <w:pPr>
              <w:pStyle w:val="Normal"/>
              <w:spacing w:lineRule="auto" w:line="240" w:before="0" w:after="0"/>
              <w:jc w:val="both"/>
              <w:rPr>
                <w:sz w:val="22"/>
                <w:lang w:val="lt-LT"/>
              </w:rPr>
            </w:pPr>
            <w:r>
              <w:rPr>
                <w:sz w:val="22"/>
                <w:lang w:val="lt-LT"/>
              </w:rPr>
              <w:t>Tinkamais paramos gavėjais gali būti tik Jonavos rajone registruoti bei VVG teritorijoje veiklą vykdantys subjektai.</w:t>
            </w:r>
          </w:p>
        </w:tc>
      </w:tr>
      <w:tr>
        <w:trPr>
          <w:trHeight w:val="437" w:hRule="atLeast"/>
        </w:trPr>
        <w:tc>
          <w:tcPr>
            <w:tcW w:w="3326" w:type="dxa"/>
            <w:vMerge w:val="continue"/>
            <w:tcBorders/>
            <w:shd w:color="auto" w:fill="auto" w:val="clear"/>
            <w:tcMar>
              <w:left w:w="83" w:type="dxa"/>
            </w:tcMar>
          </w:tcPr>
          <w:p>
            <w:pPr>
              <w:pStyle w:val="Normal"/>
              <w:spacing w:lineRule="auto" w:line="240" w:before="0" w:after="0"/>
              <w:jc w:val="both"/>
              <w:rPr>
                <w:sz w:val="22"/>
                <w:lang w:val="lt-LT"/>
              </w:rPr>
            </w:pPr>
            <w:r>
              <w:rPr>
                <w:sz w:val="22"/>
                <w:lang w:val="lt-LT"/>
              </w:rPr>
            </w:r>
          </w:p>
        </w:tc>
        <w:tc>
          <w:tcPr>
            <w:tcW w:w="6395" w:type="dxa"/>
            <w:tcBorders/>
            <w:shd w:color="auto" w:fill="auto" w:val="clear"/>
            <w:tcMar>
              <w:left w:w="83" w:type="dxa"/>
            </w:tcMar>
          </w:tcPr>
          <w:p>
            <w:pPr>
              <w:pStyle w:val="Normal"/>
              <w:spacing w:lineRule="auto" w:line="240" w:before="0" w:after="0"/>
              <w:jc w:val="both"/>
              <w:rPr>
                <w:sz w:val="22"/>
                <w:lang w:val="lt-LT"/>
              </w:rPr>
            </w:pPr>
            <w:r>
              <w:rPr>
                <w:sz w:val="22"/>
                <w:lang w:val="lt-LT"/>
              </w:rPr>
              <w:t xml:space="preserve">Kvietimui skiriama VPS paramos lėšų suma </w:t>
            </w:r>
            <w:r>
              <w:rPr>
                <w:b/>
                <w:sz w:val="22"/>
                <w:lang w:val="lt-LT"/>
              </w:rPr>
              <w:t>76 000</w:t>
            </w:r>
            <w:r>
              <w:rPr>
                <w:sz w:val="22"/>
                <w:lang w:val="lt-LT"/>
              </w:rPr>
              <w:t xml:space="preserve"> Eur didžiausia galima parama vienam vietos projektui įgyvendinti </w:t>
            </w:r>
          </w:p>
          <w:p>
            <w:pPr>
              <w:pStyle w:val="Normal"/>
              <w:spacing w:lineRule="auto" w:line="240" w:before="0" w:after="0"/>
              <w:jc w:val="both"/>
              <w:rPr/>
            </w:pPr>
            <w:r>
              <w:rPr>
                <w:b/>
                <w:sz w:val="22"/>
                <w:lang w:val="lt-LT"/>
              </w:rPr>
              <w:t>9 500</w:t>
            </w:r>
            <w:r>
              <w:rPr>
                <w:sz w:val="22"/>
                <w:lang w:val="lt-LT"/>
              </w:rPr>
              <w:t xml:space="preserve"> Eur</w:t>
            </w:r>
          </w:p>
        </w:tc>
      </w:tr>
      <w:tr>
        <w:trPr>
          <w:trHeight w:val="961" w:hRule="atLeast"/>
        </w:trPr>
        <w:tc>
          <w:tcPr>
            <w:tcW w:w="3326" w:type="dxa"/>
            <w:vMerge w:val="continue"/>
            <w:tcBorders/>
            <w:shd w:color="auto" w:fill="auto" w:val="clear"/>
            <w:tcMar>
              <w:left w:w="83" w:type="dxa"/>
            </w:tcMar>
          </w:tcPr>
          <w:p>
            <w:pPr>
              <w:pStyle w:val="Normal"/>
              <w:spacing w:lineRule="auto" w:line="240" w:before="0" w:after="0"/>
              <w:jc w:val="both"/>
              <w:rPr>
                <w:sz w:val="22"/>
                <w:lang w:val="lt-LT"/>
              </w:rPr>
            </w:pPr>
            <w:r>
              <w:rPr>
                <w:sz w:val="22"/>
                <w:lang w:val="lt-LT"/>
              </w:rPr>
            </w:r>
          </w:p>
        </w:tc>
        <w:tc>
          <w:tcPr>
            <w:tcW w:w="6395" w:type="dxa"/>
            <w:tcBorders/>
            <w:shd w:color="auto" w:fill="auto" w:val="clear"/>
            <w:tcMar>
              <w:left w:w="83" w:type="dxa"/>
            </w:tcMar>
          </w:tcPr>
          <w:p>
            <w:pPr>
              <w:pStyle w:val="Normal"/>
              <w:spacing w:lineRule="auto" w:line="240" w:before="0" w:after="0"/>
              <w:jc w:val="both"/>
              <w:rPr/>
            </w:pPr>
            <w:r>
              <w:rPr>
                <w:sz w:val="22"/>
                <w:lang w:val="lt-LT"/>
              </w:rPr>
              <w:t xml:space="preserve">Paramos vietos projektui įgyvendinti lyginamoji dalis </w:t>
            </w:r>
            <w:r>
              <w:rPr>
                <w:rFonts w:cs="Times New Roman"/>
                <w:sz w:val="22"/>
                <w:lang w:val="lt-LT"/>
              </w:rPr>
              <w:t xml:space="preserve">iki </w:t>
            </w:r>
            <w:r>
              <w:rPr>
                <w:rFonts w:cs="Times New Roman"/>
                <w:b/>
                <w:sz w:val="22"/>
                <w:lang w:val="lt-LT"/>
              </w:rPr>
              <w:t>80 proc</w:t>
            </w:r>
            <w:r>
              <w:rPr>
                <w:rFonts w:cs="Times New Roman"/>
                <w:sz w:val="22"/>
                <w:lang w:val="lt-LT"/>
              </w:rPr>
              <w:t xml:space="preserve">. arba iki </w:t>
            </w:r>
            <w:r>
              <w:rPr>
                <w:rFonts w:cs="Times New Roman"/>
                <w:b/>
                <w:sz w:val="22"/>
                <w:lang w:val="lt-LT"/>
              </w:rPr>
              <w:t>95 proc</w:t>
            </w:r>
            <w:r>
              <w:rPr>
                <w:rFonts w:cs="Times New Roman"/>
                <w:sz w:val="22"/>
                <w:lang w:val="lt-LT"/>
              </w:rPr>
              <w:t xml:space="preserve">., kai </w:t>
            </w:r>
            <w:r>
              <w:rPr>
                <w:rFonts w:cs="Times New Roman"/>
                <w:color w:val="000000"/>
                <w:sz w:val="22"/>
                <w:lang w:val="lt-LT"/>
              </w:rPr>
              <w:t xml:space="preserve">vietos veiklos projektu laikomas toks vietos projektas, kurio galutinis rezultatas pats savaime nėra materialusis turtas (esmė yra pats projektas, o ne nuolatinė veikla), </w:t>
            </w:r>
            <w:r>
              <w:rPr>
                <w:rFonts w:cs="Times New Roman"/>
                <w:sz w:val="22"/>
                <w:lang w:val="lt-LT"/>
              </w:rPr>
              <w:t>visų tinkamų finansuoti vietos projektų išlaidų.</w:t>
            </w:r>
          </w:p>
        </w:tc>
      </w:tr>
      <w:tr>
        <w:trPr>
          <w:trHeight w:val="716" w:hRule="atLeast"/>
        </w:trPr>
        <w:tc>
          <w:tcPr>
            <w:tcW w:w="3326" w:type="dxa"/>
            <w:vMerge w:val="continue"/>
            <w:tcBorders/>
            <w:shd w:color="auto" w:fill="auto" w:val="clear"/>
            <w:tcMar>
              <w:left w:w="83" w:type="dxa"/>
            </w:tcMar>
          </w:tcPr>
          <w:p>
            <w:pPr>
              <w:pStyle w:val="Normal"/>
              <w:spacing w:lineRule="auto" w:line="240" w:before="0" w:after="0"/>
              <w:jc w:val="both"/>
              <w:rPr>
                <w:sz w:val="22"/>
                <w:lang w:val="lt-LT"/>
              </w:rPr>
            </w:pPr>
            <w:r>
              <w:rPr>
                <w:sz w:val="22"/>
                <w:lang w:val="lt-LT"/>
              </w:rPr>
            </w:r>
          </w:p>
        </w:tc>
        <w:tc>
          <w:tcPr>
            <w:tcW w:w="6395" w:type="dxa"/>
            <w:tcBorders/>
            <w:shd w:color="auto" w:fill="auto" w:val="clear"/>
            <w:tcMar>
              <w:left w:w="83" w:type="dxa"/>
            </w:tcMar>
          </w:tcPr>
          <w:p>
            <w:pPr>
              <w:pStyle w:val="Normal"/>
              <w:spacing w:lineRule="auto" w:line="240" w:before="0" w:after="0"/>
              <w:jc w:val="both"/>
              <w:rPr>
                <w:sz w:val="22"/>
                <w:lang w:val="lt-LT"/>
              </w:rPr>
            </w:pPr>
            <w:r>
              <w:rPr>
                <w:b/>
                <w:sz w:val="22"/>
                <w:lang w:val="lt-LT"/>
              </w:rPr>
              <w:t>Finansavimo šaltiniai</w:t>
            </w:r>
            <w:r>
              <w:rPr>
                <w:sz w:val="22"/>
                <w:lang w:val="lt-LT"/>
              </w:rPr>
              <w:t>: EŽŪFKP ir Lietuvos Respublikos valstybės biudžeto lėšos.</w:t>
            </w:r>
          </w:p>
        </w:tc>
      </w:tr>
    </w:tbl>
    <w:p>
      <w:pPr>
        <w:pStyle w:val="Normal"/>
        <w:spacing w:lineRule="auto" w:line="240" w:before="0" w:after="0"/>
        <w:ind w:firstLine="567"/>
        <w:jc w:val="both"/>
        <w:rPr>
          <w:sz w:val="22"/>
          <w:lang w:val="lt-LT"/>
        </w:rPr>
      </w:pPr>
      <w:r>
        <w:rPr>
          <w:sz w:val="22"/>
          <w:lang w:val="lt-LT"/>
        </w:rPr>
      </w:r>
    </w:p>
    <w:p>
      <w:pPr>
        <w:pStyle w:val="Normal"/>
        <w:spacing w:lineRule="auto" w:line="240" w:before="0" w:after="0"/>
        <w:ind w:firstLine="567"/>
        <w:jc w:val="both"/>
        <w:rPr>
          <w:sz w:val="22"/>
          <w:lang w:val="lt-LT"/>
        </w:rPr>
      </w:pPr>
      <w:r>
        <w:rPr>
          <w:sz w:val="22"/>
          <w:lang w:val="lt-LT"/>
        </w:rPr>
        <w:t xml:space="preserve">Bendra kvietimo teikti vietos projektus suma </w:t>
      </w:r>
      <w:r>
        <w:rPr>
          <w:b/>
          <w:sz w:val="22"/>
          <w:lang w:val="lt-LT"/>
        </w:rPr>
        <w:t>76 000 Eur</w:t>
      </w:r>
      <w:r>
        <w:rPr>
          <w:sz w:val="22"/>
          <w:lang w:val="lt-LT"/>
        </w:rPr>
        <w:t xml:space="preserve"> iš EŽŪFKP ir Lietuvos Respublikos valstybės biudžeto lėšų.  </w:t>
      </w:r>
    </w:p>
    <w:p>
      <w:pPr>
        <w:pStyle w:val="Normal"/>
        <w:spacing w:lineRule="auto" w:line="240" w:before="0" w:after="0"/>
        <w:ind w:firstLine="567"/>
        <w:jc w:val="both"/>
        <w:rPr>
          <w:sz w:val="22"/>
          <w:lang w:val="lt-LT"/>
        </w:rPr>
      </w:pPr>
      <w:r>
        <w:rPr>
          <w:sz w:val="22"/>
          <w:lang w:val="lt-LT"/>
        </w:rPr>
        <w:t>Vietos projektų finansavimo sąlygų aprašai skelbiami šiose interneto svetainėse www.jonavosvvg.lt ir www.nma.lt,  taip pat Jonavos rajono savivaldybės vietos veiklos grupės būstinėje adresu: Žeimių g. 15-309, Jonava.</w:t>
      </w:r>
    </w:p>
    <w:p>
      <w:pPr>
        <w:pStyle w:val="Normal"/>
        <w:spacing w:lineRule="auto" w:line="240" w:before="0" w:after="0"/>
        <w:ind w:firstLine="567"/>
        <w:jc w:val="both"/>
        <w:rPr/>
      </w:pPr>
      <w:r>
        <w:rPr>
          <w:sz w:val="22"/>
          <w:lang w:val="lt-LT"/>
        </w:rPr>
        <w:t xml:space="preserve">Kvietimas teikti vietos projektus galioja nuo </w:t>
      </w:r>
      <w:r>
        <w:rPr>
          <w:b/>
          <w:sz w:val="22"/>
          <w:lang w:val="lt-LT"/>
        </w:rPr>
        <w:t>2018 m. vasario 5 d. 10.00 val. iki 2018 m. balandžio 2 d. 13.00 val.</w:t>
      </w:r>
      <w:r>
        <w:rPr>
          <w:sz w:val="22"/>
          <w:lang w:val="lt-LT"/>
        </w:rPr>
        <w:t xml:space="preserve">   </w:t>
      </w:r>
    </w:p>
    <w:p>
      <w:pPr>
        <w:pStyle w:val="Normal"/>
        <w:spacing w:lineRule="auto" w:line="240" w:before="0" w:after="0"/>
        <w:ind w:firstLine="567"/>
        <w:jc w:val="both"/>
        <w:rPr/>
      </w:pPr>
      <w:r>
        <w:rPr>
          <w:sz w:val="22"/>
          <w:lang w:val="lt-LT"/>
        </w:rPr>
        <w:t xml:space="preserve">Vietos projektų paraiškos priimamos Jonavos rajono savivaldybės vietos veiklos grupės būstinėje adresu: Žeimių g. 15-309, Jonava arba elektroniniu paštu: </w:t>
      </w:r>
      <w:hyperlink r:id="rId5">
        <w:bookmarkStart w:id="1" w:name="__DdeLink__55271_1017286048"/>
        <w:r>
          <w:rPr>
            <w:rStyle w:val="InternetLink"/>
            <w:sz w:val="22"/>
            <w:lang w:val="lt-LT"/>
          </w:rPr>
          <w:t>jonava.vvg@gmail.com</w:t>
        </w:r>
      </w:hyperlink>
      <w:bookmarkEnd w:id="1"/>
      <w:r>
        <w:rPr>
          <w:sz w:val="22"/>
          <w:lang w:val="lt-LT"/>
        </w:rPr>
        <w:t xml:space="preserve"> .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  </w:t>
      </w:r>
    </w:p>
    <w:p>
      <w:pPr>
        <w:pStyle w:val="Normal"/>
        <w:spacing w:lineRule="auto" w:line="240" w:before="0" w:after="0"/>
        <w:ind w:firstLine="567"/>
        <w:jc w:val="both"/>
        <w:rPr>
          <w:sz w:val="22"/>
          <w:lang w:val="lt-LT"/>
        </w:rPr>
      </w:pPr>
      <w:r>
        <w:rPr>
          <w:sz w:val="22"/>
          <w:lang w:val="lt-LT"/>
        </w:rPr>
        <w:t xml:space="preserve">Per vieną konkrečios VPS priemonės ir (arba) veiklos srities paramos paraiškų priėmimo laikotarpį vietos projekto paraiškos teikėjas gali pateikti vieną vietos projekto paraišką (išskyrus išimtis, nurodytas Vietos projektų administravimo taisyklių 72 punkte). </w:t>
      </w:r>
    </w:p>
    <w:p>
      <w:pPr>
        <w:pStyle w:val="Normal"/>
        <w:spacing w:lineRule="auto" w:line="240" w:before="0" w:after="0"/>
        <w:ind w:firstLine="567"/>
        <w:jc w:val="both"/>
        <w:rPr/>
      </w:pPr>
      <w:r>
        <w:rPr>
          <w:sz w:val="22"/>
          <w:lang w:val="lt-LT"/>
        </w:rPr>
        <w:t xml:space="preserve">Informacija apie kvietimą teikti vietos projektus ir vietos projektų įgyvendinimą teikiama Jonavos rajono savivaldybės vietos veiklos grupės būstinėje adresu: Žeimių g. 15-309, Jonava arba elektroniniu paštu: </w:t>
      </w:r>
      <w:hyperlink r:id="rId6">
        <w:r>
          <w:rPr>
            <w:rStyle w:val="InternetLink"/>
            <w:sz w:val="22"/>
            <w:lang w:val="lt-LT"/>
          </w:rPr>
          <w:t>jonava.vvg@gmail.com</w:t>
        </w:r>
      </w:hyperlink>
      <w:r>
        <w:rPr>
          <w:sz w:val="22"/>
          <w:lang w:val="lt-LT"/>
        </w:rPr>
        <w:t xml:space="preserve"> ir telefonu 8 656 42043 darbo dienomis nuo 10.00 val. iki 13.00 val.</w:t>
      </w:r>
    </w:p>
    <w:sectPr>
      <w:headerReference w:type="default" r:id="rId7"/>
      <w:footerReference w:type="default" r:id="rId8"/>
      <w:footerReference w:type="first" r:id="rId9"/>
      <w:type w:val="nextPage"/>
      <w:pgSz w:w="12240" w:h="15840"/>
      <w:pgMar w:left="1701" w:right="567" w:header="720" w:top="1134" w:footer="720" w:bottom="1191"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60"/>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t xml:space="preserv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875320656"/>
    </w:sdtPr>
    <w:sdtContent>
      <w:p>
        <w:pPr>
          <w:pStyle w:val="Header"/>
          <w:jc w:val="center"/>
          <w:rPr/>
        </w:pPr>
        <w:r>
          <w:rPr/>
          <w:fldChar w:fldCharType="begin"/>
        </w:r>
        <w:r>
          <w:instrText> PAGE </w:instrText>
        </w:r>
        <w:r>
          <w:fldChar w:fldCharType="separate"/>
        </w:r>
        <w:r>
          <w:t>2</w:t>
        </w:r>
        <w:r>
          <w:fldChar w:fldCharType="end"/>
        </w:r>
      </w:p>
    </w:sdtContent>
  </w:sdt>
  <w:p>
    <w:pPr>
      <w:pStyle w:val="Header"/>
      <w:rPr/>
    </w:pPr>
    <w:r>
      <w:rPr/>
    </w:r>
  </w:p>
</w:hdr>
</file>

<file path=word/settings.xml><?xml version="1.0" encoding="utf-8"?>
<w:settings xmlns:w="http://schemas.openxmlformats.org/wordprocessingml/2006/main">
  <w:zoom w:percent="100"/>
  <w:trackRevision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Times New Roman" w:hAnsi="Times New Roman" w:eastAsia="Calibri" w:cs="" w:cstheme="minorBidi" w:eastAsiaTheme="minorHAnsi"/>
      <w:color w:val="00000A"/>
      <w:sz w:val="24"/>
      <w:szCs w:val="22"/>
      <w:lang w:val="en-US"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a87f30"/>
    <w:rPr>
      <w:sz w:val="16"/>
      <w:szCs w:val="16"/>
    </w:rPr>
  </w:style>
  <w:style w:type="character" w:styleId="CommentTextChar" w:customStyle="1">
    <w:name w:val="Comment Text Char"/>
    <w:basedOn w:val="DefaultParagraphFont"/>
    <w:link w:val="CommentText"/>
    <w:uiPriority w:val="99"/>
    <w:semiHidden/>
    <w:qFormat/>
    <w:rsid w:val="00a87f30"/>
    <w:rPr>
      <w:sz w:val="20"/>
      <w:szCs w:val="20"/>
    </w:rPr>
  </w:style>
  <w:style w:type="character" w:styleId="CommentSubjectChar" w:customStyle="1">
    <w:name w:val="Comment Subject Char"/>
    <w:basedOn w:val="CommentTextChar"/>
    <w:link w:val="CommentSubject"/>
    <w:uiPriority w:val="99"/>
    <w:semiHidden/>
    <w:qFormat/>
    <w:rsid w:val="00a87f30"/>
    <w:rPr>
      <w:b/>
      <w:bCs/>
      <w:sz w:val="20"/>
      <w:szCs w:val="20"/>
    </w:rPr>
  </w:style>
  <w:style w:type="character" w:styleId="BalloonTextChar" w:customStyle="1">
    <w:name w:val="Balloon Text Char"/>
    <w:basedOn w:val="DefaultParagraphFont"/>
    <w:link w:val="BalloonText"/>
    <w:uiPriority w:val="99"/>
    <w:semiHidden/>
    <w:qFormat/>
    <w:rsid w:val="00a87f30"/>
    <w:rPr>
      <w:rFonts w:ascii="Segoe UI" w:hAnsi="Segoe UI" w:cs="Segoe UI"/>
      <w:sz w:val="18"/>
      <w:szCs w:val="18"/>
    </w:rPr>
  </w:style>
  <w:style w:type="character" w:styleId="HeaderChar" w:customStyle="1">
    <w:name w:val="Header Char"/>
    <w:basedOn w:val="DefaultParagraphFont"/>
    <w:link w:val="Header"/>
    <w:uiPriority w:val="99"/>
    <w:qFormat/>
    <w:rsid w:val="00bb2c73"/>
    <w:rPr/>
  </w:style>
  <w:style w:type="character" w:styleId="FooterChar" w:customStyle="1">
    <w:name w:val="Footer Char"/>
    <w:basedOn w:val="DefaultParagraphFont"/>
    <w:link w:val="Footer"/>
    <w:qFormat/>
    <w:rsid w:val="00bb2c73"/>
    <w:rPr/>
  </w:style>
  <w:style w:type="character" w:styleId="InternetLink" w:customStyle="1">
    <w:name w:val="Internet Link"/>
    <w:basedOn w:val="DefaultParagraphFont"/>
    <w:uiPriority w:val="99"/>
    <w:unhideWhenUsed/>
    <w:rsid w:val="00de232f"/>
    <w:rPr>
      <w:color w:val="0563C1" w:themeColor="hyperlink"/>
      <w:u w:val="single"/>
    </w:rPr>
  </w:style>
  <w:style w:type="character" w:styleId="UnresolvedMention" w:customStyle="1">
    <w:name w:val="Unresolved Mention"/>
    <w:basedOn w:val="DefaultParagraphFont"/>
    <w:uiPriority w:val="99"/>
    <w:semiHidden/>
    <w:unhideWhenUsed/>
    <w:qFormat/>
    <w:rsid w:val="00de232f"/>
    <w:rPr>
      <w:color w:val="808080"/>
      <w:shd w:fill="E6E6E6" w:val="clear"/>
    </w:rPr>
  </w:style>
  <w:style w:type="paragraph" w:styleId="Heading" w:customStyle="1">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eastAsia="Noto Sans CJK SC Regular"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eastAsia="Noto Sans CJK SC Regular" w:cs="FreeSans"/>
    </w:rPr>
  </w:style>
  <w:style w:type="paragraph" w:styleId="Caption1">
    <w:name w:val="caption"/>
    <w:basedOn w:val="Normal"/>
    <w:qFormat/>
    <w:pPr>
      <w:suppressLineNumbers/>
      <w:spacing w:before="120" w:after="120"/>
    </w:pPr>
    <w:rPr>
      <w:rFonts w:eastAsia="Noto Sans CJK SC Regular" w:cs="FreeSans"/>
      <w:i/>
      <w:iCs/>
      <w:szCs w:val="24"/>
    </w:rPr>
  </w:style>
  <w:style w:type="paragraph" w:styleId="Annotationtext">
    <w:name w:val="annotation text"/>
    <w:basedOn w:val="Normal"/>
    <w:link w:val="CommentTextChar"/>
    <w:uiPriority w:val="99"/>
    <w:semiHidden/>
    <w:unhideWhenUsed/>
    <w:qFormat/>
    <w:rsid w:val="00a87f30"/>
    <w:pPr>
      <w:spacing w:lineRule="auto" w:line="240"/>
    </w:pPr>
    <w:rPr>
      <w:sz w:val="20"/>
      <w:szCs w:val="20"/>
    </w:rPr>
  </w:style>
  <w:style w:type="paragraph" w:styleId="Annotationsubject">
    <w:name w:val="annotation subject"/>
    <w:basedOn w:val="Annotationtext"/>
    <w:link w:val="CommentSubjectChar"/>
    <w:uiPriority w:val="99"/>
    <w:semiHidden/>
    <w:unhideWhenUsed/>
    <w:qFormat/>
    <w:rsid w:val="00a87f30"/>
    <w:pPr/>
    <w:rPr>
      <w:b/>
      <w:bCs/>
    </w:rPr>
  </w:style>
  <w:style w:type="paragraph" w:styleId="BalloonText">
    <w:name w:val="Balloon Text"/>
    <w:basedOn w:val="Normal"/>
    <w:link w:val="BalloonTextChar"/>
    <w:uiPriority w:val="99"/>
    <w:semiHidden/>
    <w:unhideWhenUsed/>
    <w:qFormat/>
    <w:rsid w:val="00a87f30"/>
    <w:pPr>
      <w:spacing w:lineRule="auto" w:line="240" w:before="0" w:after="0"/>
    </w:pPr>
    <w:rPr>
      <w:rFonts w:ascii="Segoe UI" w:hAnsi="Segoe UI" w:cs="Segoe UI"/>
      <w:sz w:val="18"/>
      <w:szCs w:val="18"/>
    </w:rPr>
  </w:style>
  <w:style w:type="paragraph" w:styleId="Header">
    <w:name w:val="Header"/>
    <w:basedOn w:val="Normal"/>
    <w:link w:val="HeaderChar"/>
    <w:uiPriority w:val="99"/>
    <w:unhideWhenUsed/>
    <w:rsid w:val="00bb2c73"/>
    <w:pPr>
      <w:tabs>
        <w:tab w:val="center" w:pos="4819" w:leader="none"/>
        <w:tab w:val="right" w:pos="9638" w:leader="none"/>
      </w:tabs>
      <w:spacing w:lineRule="auto" w:line="240" w:before="0" w:after="0"/>
    </w:pPr>
    <w:rPr/>
  </w:style>
  <w:style w:type="paragraph" w:styleId="Footer">
    <w:name w:val="Footer"/>
    <w:basedOn w:val="Normal"/>
    <w:link w:val="FooterChar"/>
    <w:unhideWhenUsed/>
    <w:rsid w:val="00bb2c73"/>
    <w:pPr>
      <w:tabs>
        <w:tab w:val="center" w:pos="4819" w:leader="none"/>
        <w:tab w:val="right" w:pos="9638" w:leader="none"/>
      </w:tabs>
      <w:spacing w:lineRule="auto" w:line="240" w:before="0" w:after="0"/>
    </w:pPr>
    <w:rPr/>
  </w:style>
  <w:style w:type="paragraph" w:styleId="NormalWeb">
    <w:name w:val="Normal (Web)"/>
    <w:basedOn w:val="Normal"/>
    <w:semiHidden/>
    <w:unhideWhenUsed/>
    <w:qFormat/>
    <w:rsid w:val="00236d60"/>
    <w:pPr>
      <w:spacing w:lineRule="auto" w:line="240" w:before="100" w:after="100"/>
    </w:pPr>
    <w:rPr>
      <w:rFonts w:eastAsia="Times New Roman" w:cs="Times New Roman"/>
      <w:szCs w:val="24"/>
      <w:lang w:val="en-GB" w:eastAsia="lt-LT"/>
    </w:rPr>
  </w:style>
  <w:style w:type="paragraph" w:styleId="BodyText1" w:customStyle="1">
    <w:name w:val="Body Text1"/>
    <w:basedOn w:val="Normal"/>
    <w:qFormat/>
    <w:rsid w:val="00236d60"/>
    <w:pPr>
      <w:suppressAutoHyphens w:val="true"/>
      <w:spacing w:lineRule="auto" w:line="290" w:before="0" w:after="0"/>
      <w:ind w:firstLine="312"/>
      <w:jc w:val="both"/>
      <w:textAlignment w:val="center"/>
    </w:pPr>
    <w:rPr>
      <w:rFonts w:eastAsia="Times New Roman" w:cs="Times New Roman"/>
      <w:color w:val="000000"/>
      <w:sz w:val="20"/>
      <w:szCs w:val="20"/>
      <w:lang w:eastAsia="lt-LT"/>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421c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mailto:jonava.vvg@gmail.com" TargetMode="External"/><Relationship Id="rId6" Type="http://schemas.openxmlformats.org/officeDocument/2006/relationships/hyperlink" Target="mailto:jonava.vvg@gmail.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LibreOffice/5.1.6.2$Linux_x86 LibreOffice_project/10m0$Build-2</Application>
  <Pages>2</Pages>
  <Words>426</Words>
  <Characters>2870</Characters>
  <CharactersWithSpaces>3316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2017-12-13T07:02:00Z</dcterms:created>
  <dc:creator>Irma Marozienė</dc:creator>
  <dc:description/>
  <dc:language>en-US</dc:language>
  <cp:lastModifiedBy>Julius Paulikas</cp:lastModifiedBy>
  <dcterms:modified xsi:type="dcterms:W3CDTF">2018-02-01T12:43:31Z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